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23 vom 20. Juni 2024</w:t>
      </w:r>
    </w:p>
    <w:p>
      <w:r>
        <w:t>SZ Gerichte, 2024-06-20, DE</w:t>
      </w:r>
    </w:p>
    <w:p>
      <w:r>
        <w:rPr>
          <w:b/>
        </w:rPr>
        <w:t xml:space="preserve">Quelle: </w:t>
      </w:r>
      <w:r>
        <w:t>https://mcp.opencaselaw.ch/entscheid/sz_gerichte_ZK2 2024 23</w:t>
      </w:r>
    </w:p>
    <w:p>
      <w:r>
        <w:t>FR: SZ_GERICHTE ZK2 2024 23 du 20 juin 2024</w:t>
      </w:r>
    </w:p>
    <w:p>
      <w:r>
        <w:t>IT: SZ_GERICHTE ZK2 2024 23 del 20 giugno 2024</w:t>
      </w:r>
    </w:p>
    <w:p>
      <w:pPr>
        <w:pStyle w:val="Heading2"/>
      </w:pPr>
      <w:r>
        <w:t>Regeste</w:t>
      </w:r>
    </w:p>
    <w:p>
      <w:r>
        <w:t>gerichtliches Verbot | übriges Zivilrecht</w:t>
      </w:r>
    </w:p>
    <w:p>
      <w:pPr>
        <w:pStyle w:val="Heading2"/>
      </w:pPr>
      <w:r>
        <w:t>Erwägungen</w:t>
      </w:r>
    </w:p>
    <w:p>
      <w:r>
        <w:rPr>
          <w:b/>
        </w:rPr>
        <w:t>E. 1</w:t>
      </w:r>
    </w:p>
    <w:p>
      <w:r>
        <w:t>Unberechtigten ist bei einer Busse bis Fr. 2’000.00 in jedem ein- zelnen Übertretungsfall verboten, die Wasserflächen der Liegen- schaften GB xx und GB yy, beides Hurdnerfeld, mit Wasserfahr- zeugen oder anderen zur Fortbewegung bestimmter Schwimmkör- per oder schwimmender Geräte, alles nach Art. 2 Abs. 1 lit. a BSV, zu befahren oder solche darauf abzustellen. Berechtigt zum Befah- ren der Wasserflächen der Liegenschaften Nr. xx und yy sowie zum Abstellen oder Parkieren darauf sind nur die Eigentümer, Mie- ter, Besucher und Lieferanten der Anstösserparzellen, der Boots- stege, der Bootswerft, des Schiffsinspektorats, der Seepolizei und des Seerettungsdienstes.</w:t>
      </w:r>
    </w:p>
    <w:p>
      <w:r>
        <w:rPr>
          <w:b/>
        </w:rPr>
        <w:t>E. 2</w:t>
      </w:r>
    </w:p>
    <w:p>
      <w:r>
        <w:t>Das Verbot ist unbefristet zu erlassen.</w:t>
      </w:r>
    </w:p>
    <w:p>
      <w:r>
        <w:rPr>
          <w:b/>
        </w:rPr>
        <w:t>E. 3</w:t>
      </w:r>
    </w:p>
    <w:p>
      <w:r>
        <w:t>Eventualiter zu Rechtsbegehren Ziff. 2 ist die Angelegenheit an den Einzelrichter des Bezirksgerichts Höfe zurückzuweisen, dies zum Eintreten auf das Gesuch vom 15.2.2024 um Erlass des ge- richtlichen Verbots und so der Verfügung des ersuchten gerichtli- chen Verbots mit dessen Publikation.</w:t>
      </w:r>
    </w:p>
    <w:p>
      <w:r>
        <w:rPr>
          <w:b/>
        </w:rPr>
        <w:t>E. 4</w:t>
      </w:r>
    </w:p>
    <w:p>
      <w:r>
        <w:t>Die Berufungsführerin macht sowohl eine unrichtige Feststellung des Sachverhalts als auch eine unrichtige Rechtsanwendung geltend und verlangt Eintreten auf ihr Gesuch nach Art. 258 ZPO. a) Mit dem Gesuch um Erlass eines gerichtlichen Verbots kann der an ei- nem Grundstück dinglich Berechtigte dem Gericht beantragen, dass jede Be- sitzesstörung zu unterlassen ist und eine Widerhandlung auf Antrag mit einer Busse bis zu Fr. 2’000.00 bestraft wird (Art. 258 Abs. 1 ZPO). Die Berufungs- führerin ist Eigentümerin der Liegenschaften Nr. xx und yy (Vi-KB 2 f.), sodass sie als dinglich berechtigte öffentlich-rechtliche Körperschaft hinsichtlich ihres</w:t>
      </w:r>
    </w:p>
    <w:p>
      <w:r>
        <w:t>Kantonsgericht Schwyz 6 Finanz- und Verwaltungsvermögens im Sinne von Art. 258 ZPO grundsätzlich aktivlegitimiert ist. Im Bereich öffentlicher Sachen im Gemeingebrauch kann die öffentlich-rechtliche Körperschaft den Gemeingebrauch indes nicht durch ein Verbot nach Art. 258 ZPO untersagen lassen, sondern muss auf öffentlich- rechtlichem Wege vorgehen. Im Weiteren darf sie die öffentlich-rechtlichen Vorschriften nicht umgehen, indem sie beim Zivilrichter ein Verbot erwirkt (Tenchio/Tenchio, in: Spühler/Tenchio/Infanger [Hrsg.], a.a.O., Art. 258 ZPO N 13 und 16; Göksu, a.a.O., Art. 258 ZPO N 4, 7 und 10a; BGE 148 IV 30 E. 1.4.1). b) Gemäss Berufungsführerin handelt es sich bei den fraglichen Wasser- flächen um keine öffentliche Sache, sondern um privates Eigentum mit aus- schliesslich privatem Nutzungsrecht. Sie verneint das Vorliegen öffent- lichrechtlicher Eigentumsbeschränkungen hinsichtlich Öffentlichkeit oder Ge- meingebrauch und weist auf die fehlende Dienstbarkeit und Widmung des künstlich geschaffenen Kanalsystems hin. Die privaten Wasserflächen stün- den nicht dem Gemeingebrauch zu, sondern würden als Erschliessungs- re- sp. Befahrungsflächen einzig der Erschliessung der an sie angrenzenden pri- vaten Parzellen und Anlagen dienen. Im Gegensatz zu den Bezirken und Ge- meinden übe sie keine staatlichen Tätigkeiten aus und sämtliches Korporati- onsgut stelle Finanzvermögen dar, das grundsätzlich ausschliesslich den Be- stimmungen des Privatrechtes unterläge. Sie besitze kein Verwaltungsvermö- gen. Nach Art. 3 der Statuten bezwecke sie lediglich die Bewirtschaftung des Korporationsguts nach unternehmerischen Grundsätzen und unter Wahrung ihres öffentlich-rechtlichen Status. Es bestimme sich nach kantonalem Recht, was öffentliches Gewässer nach Art. 664 ZGB und so auch dem BSG sei. Die relevanten Wasserflächen würden nicht zum öffentlichen Obersee/Zürichsee gehören, sondern seien künstlich angelegte private Gewässerflächen. Es handle sich um mit behördlicher Bewilligung angelegte Seen im Sinne von § 2 lit. a des Wasserrechtsgesetzes (KWRG; SRSZ 451.100), bezüglich welcher eine ausdrückliche Öffentlicherklärung unbestrittener- und belegtermassen</w:t>
      </w:r>
    </w:p>
    <w:p>
      <w:r>
        <w:t>Kantonsgericht Schwyz 7 nicht vorliege. Es sei denn auch sie und nicht der Kanton, welche die Wasser- flächen des Hurdnerfelds für die Schiffbarkeit im Sinne von Art. 5 BSG unter- halte (KG-act. 1 Ziff. II./2. ff.). c) Vorweg ist festzuhalten, dass der Vorderrichter entgegen den Vorbrin- gen der Berufungsführerin (vgl. KG-act. 1 Ziff. II./1.) nicht nur deshalb von ei- nem „öffentlichen Gewässer” ausgeht, weil die Wasserflächen im Hurdnerfeld „im Eigentum einer Körperschaft des kantonalen öffentlichen Rechts stehen würden und so direkt für den Gemeingebrauch offen seien und zum öffentli- chen See im Gemeingebrauch gehören würden (Verwaltungsvermögen mit öffentlichem Gebrauch)”. Er prüfte, ob die Wasserflächen unter Bezugnahme auf Art. 1 Abs. 1 BSG und analogem Heranziehen der Rechtsprechung zu Art. 1 Abs. 1 SVG ausschliesslich privatem Gebrauch dienen (unter Verweis auf Art. 1 Abs. 2 der Verkehrsregelnverordnung [SR 741.11]). Ob das Gewäs- ser in öffentlichem oder privatem Eigentum steht, bezeichnete er dabei explizit als irrelevant (vgl. angef. Verfügung E. 3b/aa). In ihrem Gesuch vor erster In- stanz bezog sich die Berufungsführerin auf die „künstlich geschaffenen und rein privaten Wasserflächen Hurdnerfeld” auf den Liegenschaften GB xx und yy (Vi-act. A/I [= KG-act. 1/2] Ziff. I./4.), ohne darzulegen, weshalb diese privat seien oder nicht dem Gemeingebrauch dienen würden. Mit Berufung stellt sie nicht in Abrede, dass es sich bei den Wasserflächen im Gebiet Hurdnerfeld um Erschliessungs- resp. Befahrungsflächen handelt, die nebst der Erschlies- sung von Wohnbauten auch als Wasserkanäle für die angrenzende Werft, das Schiffinspektorat, die Seepolizei, den Seerettungsdienst sowie „weitere Ge- werbe- und Industriegebäude” dienen (vgl. angef. Verfügung E. 3b/bb). Eben- so wenig beanstandet sie das Heranziehen der Rechtsprechung zu den öf- fentlichen Strassen nach SVG, wonach Strassen dann öffentlich sind, wenn sie einem unbestimmbaren Personenkreis zur Verfügung stehen (vgl. Waldmann/Kraemer, in: Niggli/Probst/Waldmann [Hrsg.], Basler Kom- mentar, Strassenverkehrsgesetz, 2014, Art. 1 SVG N 19; BGE 148 IV 30 E. 1.4.2). Gemäss bundesgerichtlicher Rechtsprechung hängt der Charakter</w:t>
      </w:r>
    </w:p>
    <w:p>
      <w:r>
        <w:t>Kantonsgericht Schwyz 8 als öffentliche Strasse nicht vom Willen des Eigentümers ab, sondern von ih- rer tatsächlichen Benützung (ohne entsprechende Widmung). Dies folgt aus der polizeirechtlichen Zielsetzung der Strassenverkehrsgesetzgebung, die den Schutz der öffentlichen Ordnung und Sicherheit im Strassenverkehr bezweckt und aus Gründen der Gefahrenabwehr nach einer umfassenden Geltung der diesbezüglichen Verbots- und Gebotsnormen (Verkehrsregeln) ruft (BGer, Urteil 6B.87/2008 vom 31. Juli 2008 E. 2.2). Ähnlich wie das SVG für den Strassenverkehr legt auch das BSG die auf den Gewässern einzuhaltenden Verkehrsregeln fest und ordnet die Zulassung der Schiffe und der Schiffsfüh- rer (vgl. Art. 10-27 BSG sowie die Vorschriften des BSV). Gemäss Art. 3 Abs. 1 BSG steht die Gewässerhoheit den Kantonen zu und das Bundesrecht bleibt vorbehalten (Tschannen/Müller/Kern, Allgemeines Verwaltungsrecht,</w:t>
      </w:r>
    </w:p>
    <w:p>
      <w:r>
        <w:rPr>
          <w:b/>
        </w:rPr>
        <w:t>E. 5</w:t>
      </w:r>
    </w:p>
    <w:p>
      <w:r>
        <w:t>Zusammenfassend ist die Berufung abzuweisen, soweit auf sie einzutre- ten ist. Ausgangsgemäss sind die Kosten des Berufungsverfahrens der Beru- fungsführerin aufzuerlegen (Art. 106 Abs. 1 ZPO);-</w:t>
      </w:r>
    </w:p>
    <w:p>
      <w:r>
        <w:t>Kantonsgericht Schwyz 14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